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03851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  <w:r w:rsidR="000840F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XXIX</w:t>
      </w:r>
    </w:p>
    <w:p w14:paraId="62FD4D0F" w14:textId="77777777" w:rsidR="00E31A3C" w:rsidRDefault="000840F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El estado que guardan los sistemas pensionarios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.</w:t>
      </w:r>
    </w:p>
    <w:p w14:paraId="2A822180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5D4BF84D" w14:textId="77777777" w:rsidR="00C33AC0" w:rsidRPr="004A5427" w:rsidRDefault="00C33AC0" w:rsidP="00C33AC0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</w:pPr>
      <w:r w:rsidRPr="004A5427"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  <w:t xml:space="preserve">Respecto al Sistema Pensionario de los Servidores Públicos que laboran en el </w:t>
      </w:r>
      <w:r w:rsidR="00CA500D" w:rsidRPr="004A5427"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  <w:t xml:space="preserve">Instituto de </w:t>
      </w:r>
      <w:r w:rsidRPr="004A5427"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  <w:t>Servicio Médico de los Trabajadores de la Educación</w:t>
      </w:r>
      <w:r w:rsidR="00CA500D" w:rsidRPr="004A5427"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  <w:t xml:space="preserve"> del Estado de Coahuila</w:t>
      </w:r>
      <w:r w:rsidRPr="004A5427"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  <w:t xml:space="preserve">, se informa que dicho sistema es administrado por la Dirección de Pensiones de los Trabajadores de la Educación, motivo por el cual dicha entidad cuenta con la información referente a este punto.  </w:t>
      </w:r>
    </w:p>
    <w:p w14:paraId="468182C8" w14:textId="77777777" w:rsidR="00C33AC0" w:rsidRPr="004A5427" w:rsidRDefault="00C33AC0" w:rsidP="00C33AC0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</w:pPr>
    </w:p>
    <w:p w14:paraId="0DA79D1F" w14:textId="72435A8B" w:rsidR="00291C48" w:rsidRDefault="00C33AC0" w:rsidP="00C33AC0">
      <w:pPr>
        <w:spacing w:after="0" w:line="240" w:lineRule="auto"/>
        <w:ind w:left="708" w:firstLine="708"/>
        <w:jc w:val="both"/>
      </w:pPr>
      <w:r w:rsidRPr="004A5427"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  <w:t>Se anexa el link a la página de transparencia de dicha Institución.</w:t>
      </w:r>
      <w:r w:rsidR="00BC16E2" w:rsidRPr="00BC16E2">
        <w:t xml:space="preserve"> </w:t>
      </w:r>
    </w:p>
    <w:p w14:paraId="4DCC00D3" w14:textId="77777777" w:rsidR="001E4F40" w:rsidRDefault="001E4F40" w:rsidP="0045362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</w:pPr>
    </w:p>
    <w:p w14:paraId="75ED7FB2" w14:textId="1267E53F" w:rsidR="001E4F40" w:rsidRDefault="00A26ADF" w:rsidP="00453626">
      <w:pPr>
        <w:spacing w:after="0" w:line="240" w:lineRule="auto"/>
        <w:ind w:left="708" w:firstLine="708"/>
        <w:jc w:val="both"/>
      </w:pPr>
      <w:hyperlink r:id="rId6" w:history="1">
        <w:r w:rsidRPr="000F58B8">
          <w:rPr>
            <w:rStyle w:val="Hipervnculo"/>
          </w:rPr>
          <w:t>https://www.coahuilatransparente.gob.mx/RutaDataFiles/BD/EstadoqueGuardanlasPensiones/DPTEPensiones%201er%20tri%202024.pdf</w:t>
        </w:r>
      </w:hyperlink>
    </w:p>
    <w:p w14:paraId="12C36B6B" w14:textId="77777777" w:rsidR="00A26ADF" w:rsidRDefault="00A26ADF" w:rsidP="0045362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</w:pPr>
    </w:p>
    <w:p w14:paraId="134F1092" w14:textId="3353641A" w:rsidR="009E2133" w:rsidRPr="004A5427" w:rsidRDefault="009E2133" w:rsidP="0045362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</w:pPr>
      <w:r w:rsidRPr="004A5427"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  <w:t xml:space="preserve">De acuerdo a la página de transparencia de la Dirección de Pensiones de los Trabajadores de la Educación </w:t>
      </w:r>
      <w:r w:rsidR="00E35288" w:rsidRPr="004A5427"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  <w:t xml:space="preserve">el estudio actuarial más actual con el que cuentan es el elaborado el </w:t>
      </w:r>
      <w:r w:rsidR="001E4F40"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  <w:t xml:space="preserve">31 de </w:t>
      </w:r>
      <w:r w:rsidR="00A26ADF"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  <w:t>Marzo de 2024</w:t>
      </w:r>
      <w:r w:rsidR="0054477B">
        <w:rPr>
          <w:rFonts w:ascii="Arial" w:eastAsia="Arial Unicode MS" w:hAnsi="Arial" w:cs="Arial"/>
          <w:bCs/>
          <w:color w:val="000000" w:themeColor="text1"/>
          <w:kern w:val="24"/>
          <w:sz w:val="24"/>
          <w:szCs w:val="24"/>
          <w:lang w:eastAsia="es-MX"/>
        </w:rPr>
        <w:t>.</w:t>
      </w:r>
    </w:p>
    <w:p w14:paraId="5B3B76A5" w14:textId="77777777" w:rsidR="00E35288" w:rsidRDefault="00E35288" w:rsidP="00531EA1">
      <w:pPr>
        <w:spacing w:after="0" w:line="240" w:lineRule="auto"/>
        <w:ind w:left="708" w:firstLine="708"/>
        <w:jc w:val="both"/>
        <w:rPr>
          <w:rStyle w:val="Hipervnculo"/>
          <w:rFonts w:ascii="Arial" w:hAnsi="Arial" w:cs="Arial"/>
          <w:sz w:val="28"/>
          <w:szCs w:val="28"/>
        </w:rPr>
      </w:pPr>
    </w:p>
    <w:p w14:paraId="13438E55" w14:textId="3175F42D" w:rsidR="00E35288" w:rsidRDefault="00E35288" w:rsidP="00387F7A">
      <w:pPr>
        <w:spacing w:after="0" w:line="240" w:lineRule="auto"/>
        <w:jc w:val="center"/>
        <w:rPr>
          <w:rStyle w:val="Hipervnculo"/>
          <w:rFonts w:ascii="Arial" w:hAnsi="Arial" w:cs="Arial"/>
          <w:sz w:val="28"/>
          <w:szCs w:val="28"/>
        </w:rPr>
      </w:pPr>
    </w:p>
    <w:p w14:paraId="21B8060F" w14:textId="77777777" w:rsidR="004D338A" w:rsidRDefault="004D338A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048501D9" w14:textId="77777777" w:rsidR="00477D51" w:rsidRPr="00477D51" w:rsidRDefault="001800E2" w:rsidP="00477D51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477D51">
        <w:rPr>
          <w:rFonts w:ascii="Arial" w:hAnsi="Arial" w:cs="Arial"/>
          <w:b/>
        </w:rPr>
        <w:t xml:space="preserve">Fecha de actualización y/o validación:                                                                                           </w:t>
      </w:r>
      <w:r w:rsidR="00477D51" w:rsidRPr="00477D51">
        <w:rPr>
          <w:rFonts w:ascii="Arial" w:hAnsi="Arial" w:cs="Arial"/>
          <w:bCs/>
        </w:rPr>
        <w:t>06 de Mayo de 2024</w:t>
      </w:r>
    </w:p>
    <w:p w14:paraId="69EA8620" w14:textId="0D7753FB" w:rsidR="00D55702" w:rsidRDefault="00D55702" w:rsidP="00D55702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B1B5B1" w14:textId="77777777" w:rsidR="001800E2" w:rsidRPr="00944FCA" w:rsidRDefault="001800E2" w:rsidP="001800E2">
      <w:pPr>
        <w:tabs>
          <w:tab w:val="left" w:pos="8820"/>
          <w:tab w:val="right" w:pos="9922"/>
        </w:tabs>
        <w:jc w:val="center"/>
        <w:rPr>
          <w:rFonts w:ascii="Arial" w:hAnsi="Arial" w:cs="Arial"/>
          <w:sz w:val="24"/>
          <w:szCs w:val="24"/>
        </w:rPr>
      </w:pPr>
    </w:p>
    <w:p w14:paraId="1D941827" w14:textId="77777777" w:rsidR="001800E2" w:rsidRPr="00944FCA" w:rsidRDefault="001800E2" w:rsidP="001800E2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556F4345" w14:textId="77777777" w:rsidR="001800E2" w:rsidRPr="00944FCA" w:rsidRDefault="001800E2" w:rsidP="001800E2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Director General de Área de Recursos Humanos</w:t>
      </w:r>
    </w:p>
    <w:p w14:paraId="28748343" w14:textId="77777777" w:rsidR="001800E2" w:rsidRPr="00944FCA" w:rsidRDefault="001800E2" w:rsidP="001800E2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18DC68F9" w14:textId="77777777" w:rsidR="001800E2" w:rsidRPr="00944FCA" w:rsidRDefault="001800E2" w:rsidP="001800E2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136AFDE3" w14:textId="23F7F297" w:rsidR="00E31A3C" w:rsidRPr="004A5427" w:rsidRDefault="001800E2" w:rsidP="001800E2">
      <w:pPr>
        <w:jc w:val="center"/>
        <w:rPr>
          <w:sz w:val="20"/>
        </w:rPr>
      </w:pPr>
      <w:r w:rsidRPr="00944FCA">
        <w:rPr>
          <w:rFonts w:ascii="Arial" w:hAnsi="Arial" w:cs="Arial"/>
          <w:sz w:val="24"/>
          <w:szCs w:val="24"/>
        </w:rPr>
        <w:t>Unidad de Transparencia</w:t>
      </w:r>
      <w:r w:rsidR="0002704C">
        <w:rPr>
          <w:rFonts w:ascii="Arial" w:hAnsi="Arial" w:cs="Arial"/>
          <w:sz w:val="24"/>
          <w:szCs w:val="26"/>
        </w:rPr>
        <w:tab/>
      </w:r>
    </w:p>
    <w:sectPr w:rsidR="00E31A3C" w:rsidRPr="004A5427" w:rsidSect="00DD6654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D9FAB4" w14:textId="77777777" w:rsidR="00DD6654" w:rsidRDefault="00DD6654" w:rsidP="00227BC6">
      <w:pPr>
        <w:spacing w:after="0" w:line="240" w:lineRule="auto"/>
      </w:pPr>
      <w:r>
        <w:separator/>
      </w:r>
    </w:p>
  </w:endnote>
  <w:endnote w:type="continuationSeparator" w:id="0">
    <w:p w14:paraId="50014C57" w14:textId="77777777" w:rsidR="00DD6654" w:rsidRDefault="00DD6654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6EC6C" w14:textId="77777777" w:rsidR="00227BC6" w:rsidRDefault="00000000">
    <w:pPr>
      <w:pStyle w:val="Piedepgina"/>
    </w:pPr>
    <w:r>
      <w:rPr>
        <w:noProof/>
        <w:lang w:eastAsia="es-MX"/>
      </w:rPr>
      <w:pict w14:anchorId="5A7E50B5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6A8E4FAE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3AEB0373">
        <v:line id="Straight Connector 4" o:spid="_x0000_s102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1B862A" w14:textId="77777777" w:rsidR="00DD6654" w:rsidRDefault="00DD6654" w:rsidP="00227BC6">
      <w:pPr>
        <w:spacing w:after="0" w:line="240" w:lineRule="auto"/>
      </w:pPr>
      <w:r>
        <w:separator/>
      </w:r>
    </w:p>
  </w:footnote>
  <w:footnote w:type="continuationSeparator" w:id="0">
    <w:p w14:paraId="20CA15AC" w14:textId="77777777" w:rsidR="00DD6654" w:rsidRDefault="00DD6654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1874F" w14:textId="77777777" w:rsidR="00227BC6" w:rsidRDefault="00CA500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D8B305D" wp14:editId="1FCB4265">
          <wp:simplePos x="0" y="0"/>
          <wp:positionH relativeFrom="column">
            <wp:posOffset>-226060</wp:posOffset>
          </wp:positionH>
          <wp:positionV relativeFrom="paragraph">
            <wp:posOffset>-405980</wp:posOffset>
          </wp:positionV>
          <wp:extent cx="1524000" cy="7749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89" cy="776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  <w:lang w:eastAsia="es-MX"/>
      </w:rPr>
      <w:pict w14:anchorId="53BED1A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148.5pt;margin-top:-23.45pt;width:441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" fillcolor="white [3201]" stroked="f" strokeweight=".5pt">
          <v:textbox>
            <w:txbxContent>
              <w:p w14:paraId="64F0287E" w14:textId="77777777" w:rsidR="00CA500D" w:rsidRDefault="00CA500D" w:rsidP="00E64274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6C4E622E" w14:textId="77777777" w:rsidR="00227BC6" w:rsidRPr="00E31A3C" w:rsidRDefault="00227BC6" w:rsidP="00E64274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CA500D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2704C"/>
    <w:rsid w:val="0006305A"/>
    <w:rsid w:val="0007691F"/>
    <w:rsid w:val="000840FC"/>
    <w:rsid w:val="00094D3F"/>
    <w:rsid w:val="000A3D08"/>
    <w:rsid w:val="000B03A0"/>
    <w:rsid w:val="000C2FBC"/>
    <w:rsid w:val="000C68D3"/>
    <w:rsid w:val="000E704B"/>
    <w:rsid w:val="00131121"/>
    <w:rsid w:val="00133B97"/>
    <w:rsid w:val="00153047"/>
    <w:rsid w:val="0015548A"/>
    <w:rsid w:val="00161389"/>
    <w:rsid w:val="0016233B"/>
    <w:rsid w:val="001800E2"/>
    <w:rsid w:val="001858A8"/>
    <w:rsid w:val="001A7797"/>
    <w:rsid w:val="001B2DC6"/>
    <w:rsid w:val="001D4289"/>
    <w:rsid w:val="001E0566"/>
    <w:rsid w:val="001E4F40"/>
    <w:rsid w:val="00206B36"/>
    <w:rsid w:val="00223A6A"/>
    <w:rsid w:val="00227BC6"/>
    <w:rsid w:val="002321F6"/>
    <w:rsid w:val="00234A0D"/>
    <w:rsid w:val="002537A7"/>
    <w:rsid w:val="0025648F"/>
    <w:rsid w:val="002677BB"/>
    <w:rsid w:val="002711DA"/>
    <w:rsid w:val="00273F71"/>
    <w:rsid w:val="00275433"/>
    <w:rsid w:val="00291C48"/>
    <w:rsid w:val="002A10A5"/>
    <w:rsid w:val="002A60A8"/>
    <w:rsid w:val="002A6F9D"/>
    <w:rsid w:val="002B0561"/>
    <w:rsid w:val="002E555C"/>
    <w:rsid w:val="002E573F"/>
    <w:rsid w:val="0033054A"/>
    <w:rsid w:val="00351691"/>
    <w:rsid w:val="00385C7B"/>
    <w:rsid w:val="00387F7A"/>
    <w:rsid w:val="003A11A6"/>
    <w:rsid w:val="003C4068"/>
    <w:rsid w:val="003F60A3"/>
    <w:rsid w:val="00414EED"/>
    <w:rsid w:val="00442021"/>
    <w:rsid w:val="00446CDD"/>
    <w:rsid w:val="00453626"/>
    <w:rsid w:val="00476207"/>
    <w:rsid w:val="00476BC3"/>
    <w:rsid w:val="00477419"/>
    <w:rsid w:val="00477D51"/>
    <w:rsid w:val="00496F94"/>
    <w:rsid w:val="004A5427"/>
    <w:rsid w:val="004C2E29"/>
    <w:rsid w:val="004C5679"/>
    <w:rsid w:val="004D338A"/>
    <w:rsid w:val="004E7E8E"/>
    <w:rsid w:val="004F4942"/>
    <w:rsid w:val="004F711F"/>
    <w:rsid w:val="00531EA1"/>
    <w:rsid w:val="005408DC"/>
    <w:rsid w:val="00542FC7"/>
    <w:rsid w:val="0054477B"/>
    <w:rsid w:val="00571E29"/>
    <w:rsid w:val="00572060"/>
    <w:rsid w:val="0058449E"/>
    <w:rsid w:val="005C0636"/>
    <w:rsid w:val="005D065B"/>
    <w:rsid w:val="005E1DB1"/>
    <w:rsid w:val="005F0656"/>
    <w:rsid w:val="006026ED"/>
    <w:rsid w:val="006169E6"/>
    <w:rsid w:val="006242A7"/>
    <w:rsid w:val="00641EB3"/>
    <w:rsid w:val="00656479"/>
    <w:rsid w:val="0065741F"/>
    <w:rsid w:val="006940C1"/>
    <w:rsid w:val="006A733C"/>
    <w:rsid w:val="006F22D1"/>
    <w:rsid w:val="00700784"/>
    <w:rsid w:val="007321E4"/>
    <w:rsid w:val="007433C1"/>
    <w:rsid w:val="00747ED4"/>
    <w:rsid w:val="00763929"/>
    <w:rsid w:val="007772E1"/>
    <w:rsid w:val="007C2050"/>
    <w:rsid w:val="007D003B"/>
    <w:rsid w:val="0082761E"/>
    <w:rsid w:val="00866B99"/>
    <w:rsid w:val="00892845"/>
    <w:rsid w:val="008978BD"/>
    <w:rsid w:val="008C2B03"/>
    <w:rsid w:val="008E05AB"/>
    <w:rsid w:val="008F2D06"/>
    <w:rsid w:val="0092482E"/>
    <w:rsid w:val="009361C5"/>
    <w:rsid w:val="00937450"/>
    <w:rsid w:val="00947A83"/>
    <w:rsid w:val="00951019"/>
    <w:rsid w:val="009729BC"/>
    <w:rsid w:val="00974B03"/>
    <w:rsid w:val="0097546A"/>
    <w:rsid w:val="00996DB2"/>
    <w:rsid w:val="009C4E7B"/>
    <w:rsid w:val="009D06D3"/>
    <w:rsid w:val="009D5173"/>
    <w:rsid w:val="009E2133"/>
    <w:rsid w:val="009F2557"/>
    <w:rsid w:val="00A00280"/>
    <w:rsid w:val="00A15E70"/>
    <w:rsid w:val="00A263F8"/>
    <w:rsid w:val="00A26ADF"/>
    <w:rsid w:val="00A37E6A"/>
    <w:rsid w:val="00A4019E"/>
    <w:rsid w:val="00A401FA"/>
    <w:rsid w:val="00A5191C"/>
    <w:rsid w:val="00A53D7F"/>
    <w:rsid w:val="00A85836"/>
    <w:rsid w:val="00AA64E5"/>
    <w:rsid w:val="00AA7BF7"/>
    <w:rsid w:val="00AC462E"/>
    <w:rsid w:val="00B22E67"/>
    <w:rsid w:val="00B358E3"/>
    <w:rsid w:val="00B5359D"/>
    <w:rsid w:val="00B878AC"/>
    <w:rsid w:val="00BC16E2"/>
    <w:rsid w:val="00BD6180"/>
    <w:rsid w:val="00BE57C9"/>
    <w:rsid w:val="00BF7EC9"/>
    <w:rsid w:val="00C11EEC"/>
    <w:rsid w:val="00C25674"/>
    <w:rsid w:val="00C316DE"/>
    <w:rsid w:val="00C33AC0"/>
    <w:rsid w:val="00C3780C"/>
    <w:rsid w:val="00C53E06"/>
    <w:rsid w:val="00C64BA1"/>
    <w:rsid w:val="00C770B3"/>
    <w:rsid w:val="00C850CE"/>
    <w:rsid w:val="00CA500D"/>
    <w:rsid w:val="00CA7921"/>
    <w:rsid w:val="00CE0427"/>
    <w:rsid w:val="00CF2DF6"/>
    <w:rsid w:val="00D54C72"/>
    <w:rsid w:val="00D55702"/>
    <w:rsid w:val="00D6133E"/>
    <w:rsid w:val="00D81961"/>
    <w:rsid w:val="00DB693C"/>
    <w:rsid w:val="00DD2D17"/>
    <w:rsid w:val="00DD6654"/>
    <w:rsid w:val="00DE73E8"/>
    <w:rsid w:val="00E058D1"/>
    <w:rsid w:val="00E23906"/>
    <w:rsid w:val="00E31A3C"/>
    <w:rsid w:val="00E35288"/>
    <w:rsid w:val="00E64274"/>
    <w:rsid w:val="00EA3A7C"/>
    <w:rsid w:val="00EB0C75"/>
    <w:rsid w:val="00EB1885"/>
    <w:rsid w:val="00ED1F13"/>
    <w:rsid w:val="00EE1995"/>
    <w:rsid w:val="00EF1999"/>
    <w:rsid w:val="00F332FB"/>
    <w:rsid w:val="00F522C9"/>
    <w:rsid w:val="00F7550B"/>
    <w:rsid w:val="00F76F36"/>
    <w:rsid w:val="00F8339F"/>
    <w:rsid w:val="00F92322"/>
    <w:rsid w:val="00F97F9D"/>
    <w:rsid w:val="00FC2311"/>
    <w:rsid w:val="00FD093F"/>
    <w:rsid w:val="00FD1F4C"/>
    <w:rsid w:val="00FD7415"/>
    <w:rsid w:val="00FE5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F0048"/>
  <w15:docId w15:val="{476CB068-CFD9-4B01-8FC8-194F3242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D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E2133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B2DC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4477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26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ahuilatransparente.gob.mx/RutaDataFiles/BD/EstadoqueGuardanlasPensiones/DPTEPensiones%201er%20tri%202024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Transparencia</cp:lastModifiedBy>
  <cp:revision>103</cp:revision>
  <dcterms:created xsi:type="dcterms:W3CDTF">2018-11-27T17:04:00Z</dcterms:created>
  <dcterms:modified xsi:type="dcterms:W3CDTF">2024-05-06T15:37:00Z</dcterms:modified>
</cp:coreProperties>
</file>